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36"/>
          <w:szCs w:val="36"/>
          <w:lang w:val="en-US"/>
        </w:rPr>
      </w:pPr>
      <w:r>
        <w:rPr>
          <w:rFonts w:cs="Times New Roman" w:ascii="Times New Roman" w:hAnsi="Times New Roman"/>
          <w:b/>
          <w:color w:val="00000A"/>
          <w:sz w:val="36"/>
          <w:szCs w:val="36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36"/>
          <w:szCs w:val="36"/>
        </w:rPr>
      </w:pPr>
      <w:r>
        <w:rPr>
          <w:rFonts w:cs="Times New Roman" w:ascii="Times New Roman" w:hAnsi="Times New Roman"/>
          <w:b/>
          <w:color w:val="00000A"/>
          <w:sz w:val="36"/>
          <w:szCs w:val="36"/>
          <w:lang w:val="en-US"/>
        </w:rPr>
        <w:t>Maindb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36"/>
          <w:szCs w:val="36"/>
        </w:rPr>
      </w:pPr>
      <w:r>
        <w:rPr>
          <w:rFonts w:cs="Times New Roman" w:ascii="Times New Roman" w:hAnsi="Times New Roman"/>
          <w:b/>
          <w:color w:val="00000A"/>
          <w:sz w:val="36"/>
          <w:szCs w:val="36"/>
        </w:rPr>
        <w:t>БАЗА ДАННЫХ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36"/>
          <w:szCs w:val="36"/>
        </w:rPr>
      </w:pPr>
      <w:r>
        <w:rPr>
          <w:rFonts w:cs="Times New Roman" w:ascii="Times New Roman" w:hAnsi="Times New Roman"/>
          <w:color w:val="00000A"/>
          <w:sz w:val="36"/>
          <w:szCs w:val="36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36"/>
          <w:szCs w:val="36"/>
        </w:rPr>
      </w:pPr>
      <w:r>
        <w:rPr>
          <w:rFonts w:cs="Times New Roman" w:ascii="Times New Roman" w:hAnsi="Times New Roman"/>
          <w:color w:val="00000A"/>
          <w:sz w:val="36"/>
          <w:szCs w:val="36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color w:val="00000A"/>
          <w:sz w:val="36"/>
          <w:szCs w:val="36"/>
        </w:rPr>
      </w:pPr>
      <w:r>
        <w:rPr>
          <w:rFonts w:cs="Times New Roman" w:ascii="Times New Roman" w:hAnsi="Times New Roman"/>
          <w:b/>
          <w:color w:val="00000A"/>
          <w:sz w:val="36"/>
          <w:szCs w:val="36"/>
        </w:rPr>
        <w:t>ОПИСАНИЕ ПРОЦЕССОВ, ОБЕСПЕЧИВАЮЩИХ ПОДДЕРЖАНИЕ ЖИЗНЕННОГО ЦИКЛА ПРОГРАММНОГО ПРОДУКТА, В ТОМ ЧИСЛЕ УСТРАНЕНИЕ НЕИСПРАВНОСТЕЙ, ВЫЯВЛЕННЫХ В ХОДЕ ЭКСПЛУАТАЦИИ ПРОГРАММНОГО КОМПЛЕКСА, СОВЕРШЕНСТВОВАНИЕ ПРОГРАММНОГО КОМПЛЕКСА, А ТАКЖЕ ИНФОРМАЦИЮ О ПЕРСОНАЛЕ, НЕОБХОДИМОЙ ДЛЯ ОБЕСПЕЧЕНИЯ ТАКОЙ ПОДДЕРЖКИ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Листов 5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2023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АННОТАЦИЯ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В документе приведены сведения о технической поддержке  Maindb.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bookmarkStart w:id="0" w:name="_Hlk34232372"/>
      <w:r>
        <w:rPr>
          <w:rFonts w:cs="Times New Roman" w:ascii="Times New Roman" w:hAnsi="Times New Roman"/>
          <w:color w:val="00000A"/>
          <w:sz w:val="24"/>
          <w:szCs w:val="24"/>
        </w:rPr>
        <w:t>Перечислены назначения и условия применения, описана подготовка к работе. Приводится описание операций, а также аварийные ситуации.</w:t>
      </w:r>
      <w:bookmarkEnd w:id="0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https://softdoc.taxsee.com/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Правообладатель: ООО «ТАКСТЕЛЕКОМ» (ИНН 4501170000).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 Техническая поддержка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709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1.1 Описание процессов, обеспечивающих поддержание жизненного цикла программного продукта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1.2 Информация о персонале, необходимом для обеспечения поддержки 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1.3 Связь пользователей с технической поддержкой</w:t>
        <w:tab/>
        <w:t>5</w:t>
      </w:r>
      <w:bookmarkStart w:id="1" w:name="__DdeLink__19777_618408524"/>
      <w:bookmarkEnd w:id="1"/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bookmarkStart w:id="2" w:name="_GoBack"/>
      <w:bookmarkStart w:id="3" w:name="_GoBack"/>
      <w:bookmarkEnd w:id="3"/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ВВЕДЕНИЕ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Требования настоящего документа применяются при необходимости изучения информации о технической поддержке программного продукта.</w:t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57"/>
        <w:gridCol w:w="6948"/>
      </w:tblGrid>
      <w:tr>
        <w:trPr/>
        <w:tc>
          <w:tcPr>
            <w:tcW w:w="2657" w:type="dxa"/>
            <w:tcBorders/>
          </w:tcPr>
          <w:p>
            <w:pPr>
              <w:pStyle w:val="Normal"/>
              <w:shd w:val="clear" w:color="auto" w:fill="auto"/>
              <w:spacing w:lineRule="auto" w:line="36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базы данных:</w:t>
            </w:r>
          </w:p>
        </w:tc>
        <w:tc>
          <w:tcPr>
            <w:tcW w:w="6948" w:type="dxa"/>
            <w:tcBorders/>
          </w:tcPr>
          <w:p>
            <w:pPr>
              <w:pStyle w:val="Normal"/>
              <w:shd w:val="clear" w:color="auto" w:fill="auto"/>
              <w:spacing w:lineRule="auto" w:line="36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aindb</w:t>
            </w:r>
          </w:p>
          <w:p>
            <w:pPr>
              <w:pStyle w:val="Normal"/>
              <w:shd w:val="clear" w:color="auto" w:fill="auto"/>
              <w:spacing w:lineRule="auto" w:line="36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Normal"/>
              <w:shd w:val="clear" w:color="auto" w:fill="auto"/>
              <w:tabs>
                <w:tab w:val="clear" w:pos="709"/>
                <w:tab w:val="left" w:pos="617" w:leader="none"/>
              </w:tabs>
              <w:snapToGrid w:val="false"/>
              <w:spacing w:lineRule="auto" w:line="36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Назначение, область применения </w:t>
            </w:r>
          </w:p>
          <w:p>
            <w:pPr>
              <w:pStyle w:val="Normal"/>
              <w:shd w:val="clear" w:color="auto" w:fill="auto"/>
              <w:spacing w:lineRule="auto" w:line="36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и функциональные возможности базы данных:</w:t>
            </w:r>
          </w:p>
        </w:tc>
        <w:tc>
          <w:tcPr>
            <w:tcW w:w="6948" w:type="dxa"/>
            <w:tcBorders/>
          </w:tcPr>
          <w:p>
            <w:pPr>
              <w:pStyle w:val="Normal"/>
              <w:shd w:val="clear" w:color="auto" w:fill="auto"/>
              <w:spacing w:lineRule="auto" w:line="36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средство для эффективного хранения большого объема информации, позволяющее посредством СУБД и иных программных средств</w:t>
            </w:r>
            <w:r>
              <w:rPr>
                <w:rFonts w:eastAsia="TimesNewRomanPSMT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автоматизировать работу операторов по приему и обработке заказов и иной информации, поступающей по сети Интернет, работу  по оформлению и сопровождению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заказов на услуги (включая, но не ограничиваясь) по перевозке пассажиров, в том числе по заказу, перевозке грузов, курьерской доставке, запуску двигателя автомобиля, по вызову эвакуатора, личного водителя, аварийного комиссара, по буксировке, перевозке животных, погрузочно-разгрузочным работам; сопровождения и изменения данных заказов</w:t>
            </w:r>
            <w:r>
              <w:rPr>
                <w:rFonts w:eastAsia="TimesNewRomanPSMT"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а также </w:t>
            </w:r>
            <w:r>
              <w:rPr>
                <w:rFonts w:eastAsia="Tahoma" w:ascii="Times New Roman" w:hAnsi="Times New Roman"/>
                <w:color w:val="000000"/>
                <w:sz w:val="24"/>
                <w:szCs w:val="24"/>
                <w:lang w:eastAsia="ru-RU"/>
              </w:rPr>
              <w:t>управлять работой компании, обеспечивая учет и обработку данных в сфере грузовых и легковых автоперевозок, доставки и прочих услуг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Maindb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 должна эксплуатироваться лицами, которые прошли процедуру регистрации и получили логин и пароль для доступа к системе (</w:t>
      </w:r>
      <w:r>
        <w:rPr>
          <w:rFonts w:cs="Times New Roman" w:ascii="Times New Roman" w:hAnsi="Times New Roman"/>
          <w:sz w:val="24"/>
          <w:szCs w:val="24"/>
        </w:rPr>
        <w:t>авторизованный пользователь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).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Авторизованный пользователь (обладает правом использования данного продукта в объеме и на условиях определенных в соответствующем лицензионном договоре)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bookmarkStart w:id="4" w:name="_Hlk43217035"/>
      <w:r>
        <w:rPr>
          <w:rFonts w:cs="Times New Roman" w:ascii="Times New Roman" w:hAnsi="Times New Roman"/>
          <w:sz w:val="24"/>
          <w:szCs w:val="24"/>
        </w:rPr>
        <w:t>вправе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использовать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aindb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способами,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описанными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соответствующем договоре (соглашении),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всей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Российской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Федерации</w:t>
      </w:r>
      <w:bookmarkEnd w:id="4"/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также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территориях,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которых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оно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доступно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использованием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различных типов </w:t>
      </w:r>
      <w:r>
        <w:rPr>
          <w:rFonts w:cs="Times New Roman" w:ascii="Times New Roman" w:hAnsi="Times New Roman"/>
          <w:sz w:val="24"/>
          <w:szCs w:val="24"/>
        </w:rPr>
        <w:t>ЭВМ.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Территория действия исключительных прав: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>территории стран-участниц Бернской конвенции об охране литературных и художественных произведений.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Конечный авторизованный пользователь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 ТЕХНИЧЕСКАЯ ПОДДЕРЖКА 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1.1 Описание процессов, обеспечивающих поддержание жизненного цикла программного продукта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Поддержание жизненного цикла базы данных Maindb, доработка и техническая поддержка Maindb осуществляется сотрудниками правообладателя                                             ООО «ТАКСТЕЛЕКОМ» (ИНН 4501170000, ОГРН 1114501006652) почтовый адрес: 640003, г. Курган, ул. Радионова, д.17)  в течение всего периода эксплуатации продукта.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ООО «ТАКСТЕЛЕКОМ» ответственен за обновление и поддержку продукта, которые включают в себя: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вопросов пользователей данного продукта;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размещение актуальной технической документации на сайте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https://softdoc.taxsee.com/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устранение неисправностей, выявленных в ходе эксплуатации Maindb, и совершенствование продукта на основании запросов пользователей.</w:t>
      </w:r>
    </w:p>
    <w:p>
      <w:pPr>
        <w:pStyle w:val="ListParagraph"/>
        <w:spacing w:lineRule="auto" w:line="360" w:before="0" w:after="0"/>
        <w:ind w:left="709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1.2 Информация о персонале, необходимом для обеспечения поддержки 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обеспечения надлежащей поддержки Maindb ООО «ТАКСТЕЛЕКОМ» в своем штате имеет </w:t>
      </w:r>
      <w:r>
        <w:rPr>
          <w:rFonts w:cs="Times New Roman" w:ascii="Times New Roman" w:hAnsi="Times New Roman"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sz w:val="24"/>
          <w:szCs w:val="24"/>
        </w:rPr>
        <w:t xml:space="preserve">-специалистов, среди которых имеются разработчики с высшим профессиональным образованием в области программирования и опытом работы с СУБД </w:t>
      </w:r>
      <w:r>
        <w:rPr>
          <w:rFonts w:cs="Times New Roman" w:ascii="Times New Roman" w:hAnsi="Times New Roman"/>
          <w:color w:val="00000A"/>
          <w:sz w:val="24"/>
          <w:szCs w:val="24"/>
        </w:rPr>
        <w:t>PostgreSQL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1.3 Связь пользователей с технической поддержкой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Пользователи приложения могут круглосуточно отправлять свои запросы службе технической поддержки по следующим каналам связи:</w:t>
      </w:r>
      <w:bookmarkStart w:id="5" w:name="_Hlk34305756"/>
      <w:bookmarkEnd w:id="5"/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электронный адрес 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support</w:t>
        </w:r>
        <w:r>
          <w:rPr>
            <w:rFonts w:cs="Times New Roman" w:ascii="Times New Roman" w:hAnsi="Times New Roman"/>
            <w:sz w:val="24"/>
            <w:szCs w:val="24"/>
          </w:rPr>
          <w:t>@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taxsee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/>
        <w:t>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система технической поддержки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https://helpdesk.taxsee.ru/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(для авторизованных пользователей).</w:t>
      </w:r>
    </w:p>
    <w:sectPr>
      <w:headerReference w:type="default" r:id="rId4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31130146"/>
    </w:sdtPr>
    <w:sdtContent>
      <w:p>
        <w:pPr>
          <w:pStyle w:val="Style23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5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255"/>
    <w:pPr>
      <w:widowControl/>
      <w:shd w:val="nil"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304255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304255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304255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304255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Heading5Char"/>
    <w:uiPriority w:val="9"/>
    <w:unhideWhenUsed/>
    <w:qFormat/>
    <w:rsid w:val="00304255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304255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rsid w:val="00304255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304255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304255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304255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304255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304255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304255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304255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304255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304255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304255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304255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304255"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304255"/>
    <w:rPr>
      <w:sz w:val="24"/>
      <w:szCs w:val="24"/>
    </w:rPr>
  </w:style>
  <w:style w:type="character" w:styleId="21" w:customStyle="1">
    <w:name w:val="Цитата 2 Знак"/>
    <w:link w:val="2"/>
    <w:uiPriority w:val="29"/>
    <w:qFormat/>
    <w:rsid w:val="00304255"/>
    <w:rPr>
      <w:i/>
    </w:rPr>
  </w:style>
  <w:style w:type="character" w:styleId="Style7" w:customStyle="1">
    <w:name w:val="Выделенная цитата Знак"/>
    <w:link w:val="a8"/>
    <w:uiPriority w:val="30"/>
    <w:qFormat/>
    <w:rsid w:val="00304255"/>
    <w:rPr>
      <w:i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0425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04255"/>
    <w:rPr/>
  </w:style>
  <w:style w:type="character" w:styleId="Style8" w:customStyle="1">
    <w:name w:val="Интернет-ссылка"/>
    <w:basedOn w:val="DefaultParagraphFont"/>
    <w:uiPriority w:val="99"/>
    <w:unhideWhenUsed/>
    <w:rsid w:val="00304255"/>
    <w:rPr>
      <w:color w:val="0563C1" w:themeColor="hyperlink"/>
      <w:u w:val="single"/>
    </w:rPr>
  </w:style>
  <w:style w:type="character" w:styleId="Style9" w:customStyle="1">
    <w:name w:val="Текст сноски Знак"/>
    <w:link w:val="ac"/>
    <w:uiPriority w:val="99"/>
    <w:qFormat/>
    <w:rsid w:val="00304255"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304255"/>
    <w:rPr>
      <w:vertAlign w:val="superscript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304255"/>
    <w:rPr/>
  </w:style>
  <w:style w:type="character" w:styleId="Style12" w:customStyle="1">
    <w:name w:val="Нижний колонтитул Знак"/>
    <w:basedOn w:val="DefaultParagraphFont"/>
    <w:uiPriority w:val="99"/>
    <w:qFormat/>
    <w:rsid w:val="00304255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04255"/>
    <w:rPr>
      <w:color w:val="605E5C"/>
      <w:shd w:fill="E1DFDD" w:val="clear"/>
    </w:rPr>
  </w:style>
  <w:style w:type="character" w:styleId="11" w:customStyle="1">
    <w:name w:val="Верхний колонтитул Знак1"/>
    <w:basedOn w:val="DefaultParagraphFont"/>
    <w:link w:val="af7"/>
    <w:uiPriority w:val="99"/>
    <w:semiHidden/>
    <w:qFormat/>
    <w:rsid w:val="00d16ebf"/>
    <w:rPr>
      <w:sz w:val="22"/>
    </w:rPr>
  </w:style>
  <w:style w:type="character" w:styleId="12" w:customStyle="1">
    <w:name w:val="Нижний колонтитул Знак1"/>
    <w:basedOn w:val="DefaultParagraphFont"/>
    <w:link w:val="af8"/>
    <w:uiPriority w:val="99"/>
    <w:semiHidden/>
    <w:qFormat/>
    <w:rsid w:val="00d16ebf"/>
    <w:rPr>
      <w:sz w:val="22"/>
    </w:rPr>
  </w:style>
  <w:style w:type="character" w:styleId="Style13">
    <w:name w:val="Неразрешенное упоминание"/>
    <w:qFormat/>
    <w:rPr>
      <w:color w:val="605E5C"/>
      <w:shd w:fill="E1DFDD" w:val="clear"/>
    </w:rPr>
  </w:style>
  <w:style w:type="character" w:styleId="WW">
    <w:name w:val="WW-Интернет-ссылка"/>
    <w:qFormat/>
    <w:rPr>
      <w:color w:val="0563C1"/>
      <w:u w:val="single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2z1">
    <w:name w:val="WW8Num2z1"/>
    <w:qFormat/>
    <w:rPr>
      <w:sz w:val="28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3z1">
    <w:name w:val="WW8Num3z1"/>
    <w:qFormat/>
    <w:rPr>
      <w:sz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>
      <w:rFonts w:ascii="Times New Roman" w:hAnsi="Times New Roman" w:eastAsia="Times New Roman"/>
    </w:rPr>
  </w:style>
  <w:style w:type="character" w:styleId="WW8Num1z1">
    <w:name w:val="WW8Num1z1"/>
    <w:qFormat/>
    <w:rPr/>
  </w:style>
  <w:style w:type="character" w:styleId="13">
    <w:name w:val="Основной шрифт абзаца1"/>
    <w:qFormat/>
    <w:rPr/>
  </w:style>
  <w:style w:type="character" w:styleId="WW8Num8z3">
    <w:name w:val="WW8Num8z3"/>
    <w:qFormat/>
    <w:rPr>
      <w:rFonts w:ascii="Symbol" w:hAnsi="Symbol" w:eastAsia="Symbol"/>
    </w:rPr>
  </w:style>
  <w:style w:type="character" w:styleId="WW8Num8z2">
    <w:name w:val="WW8Num8z2"/>
    <w:qFormat/>
    <w:rPr>
      <w:rFonts w:ascii="Wingdings" w:hAnsi="Wingdings" w:eastAsia="Wingdings"/>
    </w:rPr>
  </w:style>
  <w:style w:type="character" w:styleId="WW8Num8z1">
    <w:name w:val="WW8Num8z1"/>
    <w:qFormat/>
    <w:rPr>
      <w:rFonts w:ascii="Courier New" w:hAnsi="Courier New" w:eastAsia="Courier New"/>
    </w:rPr>
  </w:style>
  <w:style w:type="character" w:styleId="WW8Num6z3">
    <w:name w:val="WW8Num6z3"/>
    <w:qFormat/>
    <w:rPr>
      <w:rFonts w:ascii="Symbol" w:hAnsi="Symbol" w:eastAsia="Symbol"/>
    </w:rPr>
  </w:style>
  <w:style w:type="character" w:styleId="WW8Num6z2">
    <w:name w:val="WW8Num6z2"/>
    <w:qFormat/>
    <w:rPr>
      <w:rFonts w:ascii="Wingdings" w:hAnsi="Wingdings" w:eastAsia="Wingdings"/>
    </w:rPr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0">
    <w:name w:val="WW8Num9z0"/>
    <w:qFormat/>
    <w:rPr>
      <w:rFonts w:ascii="Symbol" w:hAnsi="Symbol" w:eastAsia="Symbol"/>
      <w:color w:val="000000"/>
      <w:sz w:val="16"/>
      <w:highlight w:val="white"/>
    </w:rPr>
  </w:style>
  <w:style w:type="character" w:styleId="WW8Num8z0">
    <w:name w:val="WW8Num8z0"/>
    <w:qFormat/>
    <w:rPr>
      <w:rFonts w:ascii="Arial" w:hAnsi="Arial" w:eastAsia="Arial"/>
    </w:rPr>
  </w:style>
  <w:style w:type="character" w:styleId="WW8Num7z0">
    <w:name w:val="WW8Num7z0"/>
    <w:qFormat/>
    <w:rPr>
      <w:rFonts w:ascii="Symbol" w:hAnsi="Symbol" w:eastAsia="Symbol"/>
      <w:color w:val="000000"/>
      <w:sz w:val="16"/>
      <w:highlight w:val="white"/>
    </w:rPr>
  </w:style>
  <w:style w:type="character" w:styleId="WW8Num6z0">
    <w:name w:val="WW8Num6z0"/>
    <w:qFormat/>
    <w:rPr>
      <w:rFonts w:ascii="Arial" w:hAnsi="Arial" w:eastAsia="Arial"/>
    </w:rPr>
  </w:style>
  <w:style w:type="character" w:styleId="WW8Num5z2">
    <w:name w:val="WW8Num5z2"/>
    <w:qFormat/>
    <w:rPr>
      <w:sz w:val="28"/>
    </w:rPr>
  </w:style>
  <w:style w:type="character" w:styleId="WW8Num5z1">
    <w:name w:val="WW8Num5z1"/>
    <w:qFormat/>
    <w:rPr>
      <w:rFonts w:ascii="Times New Roman" w:hAnsi="Times New Roman" w:eastAsia="Times New Roman"/>
      <w:b/>
      <w:color w:val="000000"/>
      <w:sz w:val="24"/>
      <w:szCs w:val="24"/>
    </w:rPr>
  </w:style>
  <w:style w:type="character" w:styleId="WW8Num5z0">
    <w:name w:val="WW8Num5z0"/>
    <w:qFormat/>
    <w:rPr/>
  </w:style>
  <w:style w:type="character" w:styleId="WW8Num4z0">
    <w:name w:val="WW8Num4z0"/>
    <w:qFormat/>
    <w:rPr>
      <w:rFonts w:ascii="Symbol" w:hAnsi="Symbol" w:eastAsia="Symbol"/>
      <w:color w:val="000000"/>
      <w:sz w:val="16"/>
      <w:highlight w:val="white"/>
    </w:rPr>
  </w:style>
  <w:style w:type="character" w:styleId="WW8Num3z0">
    <w:name w:val="WW8Num3z0"/>
    <w:qFormat/>
    <w:rPr>
      <w:rFonts w:ascii="Symbol" w:hAnsi="Symbol" w:eastAsia="Symbol"/>
      <w:color w:val="000000"/>
      <w:sz w:val="16"/>
      <w:highlight w:val="white"/>
    </w:rPr>
  </w:style>
  <w:style w:type="character" w:styleId="WW8Num2z0">
    <w:name w:val="WW8Num2z0"/>
    <w:qFormat/>
    <w:rPr>
      <w:rFonts w:ascii="Symbol" w:hAnsi="Symbol" w:eastAsia="Symbol"/>
      <w:color w:val="000000"/>
      <w:sz w:val="16"/>
      <w:highlight w:val="white"/>
    </w:rPr>
  </w:style>
  <w:style w:type="character" w:styleId="WW8Num1z0">
    <w:name w:val="WW8Num1z0"/>
    <w:qFormat/>
    <w:rPr>
      <w:rFonts w:ascii="Symbol" w:hAnsi="Symbol" w:eastAsia="Symbol"/>
      <w:color w:val="000000"/>
      <w:sz w:val="16"/>
      <w:highlight w:val="white"/>
    </w:rPr>
  </w:style>
  <w:style w:type="paragraph" w:styleId="Style14" w:customStyle="1">
    <w:name w:val="Заголовок"/>
    <w:basedOn w:val="Normal"/>
    <w:next w:val="Style15"/>
    <w:qFormat/>
    <w:rsid w:val="0030425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304255"/>
    <w:pPr>
      <w:spacing w:lineRule="auto" w:line="276" w:before="0" w:after="140"/>
    </w:pPr>
    <w:rPr/>
  </w:style>
  <w:style w:type="paragraph" w:styleId="Style16">
    <w:name w:val="List"/>
    <w:basedOn w:val="Style15"/>
    <w:rsid w:val="00304255"/>
    <w:pPr/>
    <w:rPr>
      <w:rFonts w:cs="Arial"/>
    </w:rPr>
  </w:style>
  <w:style w:type="paragraph" w:styleId="Style17" w:customStyle="1">
    <w:name w:val="Caption"/>
    <w:basedOn w:val="Normal"/>
    <w:qFormat/>
    <w:rsid w:val="00304255"/>
    <w:pPr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304255"/>
    <w:pPr>
      <w:widowControl/>
      <w:shd w:val="nil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Style19">
    <w:name w:val="Title"/>
    <w:basedOn w:val="Normal"/>
    <w:next w:val="Normal"/>
    <w:link w:val="a5"/>
    <w:uiPriority w:val="10"/>
    <w:qFormat/>
    <w:rsid w:val="00304255"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next w:val="Normal"/>
    <w:link w:val="a7"/>
    <w:uiPriority w:val="11"/>
    <w:qFormat/>
    <w:rsid w:val="00304255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rsid w:val="00304255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rsid w:val="0030425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1">
    <w:name w:val="Footnote Text"/>
    <w:basedOn w:val="Normal"/>
    <w:link w:val="ad"/>
    <w:uiPriority w:val="99"/>
    <w:semiHidden/>
    <w:unhideWhenUsed/>
    <w:rsid w:val="00304255"/>
    <w:pPr>
      <w:spacing w:lineRule="auto" w:line="240" w:before="0" w:after="40"/>
    </w:pPr>
    <w:rPr>
      <w:sz w:val="18"/>
    </w:rPr>
  </w:style>
  <w:style w:type="paragraph" w:styleId="14">
    <w:name w:val="TOC 1"/>
    <w:basedOn w:val="Normal"/>
    <w:next w:val="Normal"/>
    <w:uiPriority w:val="39"/>
    <w:unhideWhenUsed/>
    <w:rsid w:val="00304255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304255"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rsid w:val="00304255"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rsid w:val="00304255"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rsid w:val="00304255"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rsid w:val="00304255"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rsid w:val="00304255"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rsid w:val="00304255"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rsid w:val="00304255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304255"/>
    <w:pPr>
      <w:widowControl/>
      <w:shd w:val="nil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Indexheading">
    <w:name w:val="index heading"/>
    <w:basedOn w:val="Normal"/>
    <w:qFormat/>
    <w:rsid w:val="00304255"/>
    <w:pPr/>
    <w:rPr>
      <w:rFonts w:cs="Arial"/>
    </w:rPr>
  </w:style>
  <w:style w:type="paragraph" w:styleId="ListParagraph">
    <w:name w:val="List Paragraph"/>
    <w:basedOn w:val="Normal"/>
    <w:uiPriority w:val="34"/>
    <w:qFormat/>
    <w:rsid w:val="00304255"/>
    <w:pPr>
      <w:spacing w:before="0" w:after="16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10"/>
    <w:uiPriority w:val="99"/>
    <w:semiHidden/>
    <w:unhideWhenUsed/>
    <w:rsid w:val="00d16eb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11"/>
    <w:uiPriority w:val="99"/>
    <w:semiHidden/>
    <w:unhideWhenUsed/>
    <w:rsid w:val="00d16eb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WW1">
    <w:name w:val="WW-Заголовок"/>
    <w:basedOn w:val="Normal"/>
    <w:qFormat/>
    <w:pPr>
      <w:keepNext w:val="true"/>
      <w:spacing w:before="240" w:after="120"/>
    </w:pPr>
    <w:rPr>
      <w:rFonts w:ascii="Liberation Sans" w:hAnsi="Liberation Sans" w:eastAsia="Liberation Sans"/>
      <w:sz w:val="28"/>
      <w:szCs w:val="28"/>
      <w:lang w:eastAsia="zh-CN"/>
    </w:rPr>
  </w:style>
  <w:style w:type="paragraph" w:styleId="Toaheading">
    <w:name w:val="toa heading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Liberation Serif"/>
      <w:color w:val="auto"/>
      <w:kern w:val="2"/>
      <w:sz w:val="24"/>
      <w:szCs w:val="24"/>
      <w:lang w:val="en-US" w:eastAsia="zh-CN" w:bidi="ar-SA"/>
    </w:rPr>
  </w:style>
  <w:style w:type="paragraph" w:styleId="15">
    <w:name w:val="Указатель1"/>
    <w:basedOn w:val="Normal"/>
    <w:qFormat/>
    <w:pPr/>
    <w:rPr>
      <w:rFonts w:eastAsia="Arial"/>
      <w:lang w:eastAsia="zh-CN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0425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04255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04255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04255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3042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042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042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04255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04255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04255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04255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04255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04255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04255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0B7E1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sz="4" w:space="0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single" w:color="A0B7E1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sz="4" w:space="0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single" w:color="A2C6E7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304255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3042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042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042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042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042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042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042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304255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304255"/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304255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304255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304255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304255"/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C2E5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sz="4" w:space="0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single" w:color="9BC2E5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304255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304255"/>
    <w:rPr>
      <w:lang w:eastAsia="ru-RU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04255"/>
    <w:rPr>
      <w:lang w:eastAsia="ru-RU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04255"/>
    <w:rPr>
      <w:lang w:eastAsia="ru-RU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04255"/>
    <w:rPr>
      <w:lang w:eastAsia="ru-RU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04255"/>
    <w:rPr>
      <w:lang w:eastAsia="ru-RU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04255"/>
    <w:rPr>
      <w:lang w:eastAsia="ru-RU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04255"/>
    <w:rPr>
      <w:lang w:eastAsia="ru-RU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04255"/>
    <w:rPr>
      <w:lang w:eastAsia="ru-RU"/>
      <w:color w:val="40404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04255"/>
    <w:rPr>
      <w:lang w:eastAsia="ru-RU"/>
      <w:color w:val="404040"/>
      <w:szCs w:val="20"/>
    </w:rPr>
    <w:tblPr>
      <w:tblStyleRowBandSize w:val="1"/>
      <w:tblStyleColBandSize w:val="1"/>
      <w:tblInd w:w="0" w:type="dxa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04255"/>
    <w:rPr>
      <w:lang w:eastAsia="ru-RU"/>
      <w:color w:val="404040"/>
      <w:szCs w:val="20"/>
    </w:rPr>
    <w:tblPr>
      <w:tblStyleRowBandSize w:val="1"/>
      <w:tblStyleColBandSize w:val="1"/>
      <w:tblInd w:w="0" w:type="dxa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04255"/>
    <w:rPr>
      <w:lang w:eastAsia="ru-RU"/>
      <w:color w:val="404040"/>
      <w:szCs w:val="20"/>
    </w:rPr>
    <w:tblPr>
      <w:tblStyleRowBandSize w:val="1"/>
      <w:tblStyleColBandSize w:val="1"/>
      <w:tblInd w:w="0" w:type="dxa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04255"/>
    <w:rPr>
      <w:lang w:eastAsia="ru-RU"/>
      <w:color w:val="404040"/>
      <w:szCs w:val="20"/>
    </w:rPr>
    <w:tblPr>
      <w:tblStyleRowBandSize w:val="1"/>
      <w:tblStyleColBandSize w:val="1"/>
      <w:tblInd w:w="0" w:type="dxa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04255"/>
    <w:rPr>
      <w:lang w:eastAsia="ru-RU"/>
      <w:color w:val="404040"/>
      <w:szCs w:val="20"/>
    </w:rPr>
    <w:tblPr>
      <w:tblStyleRowBandSize w:val="1"/>
      <w:tblStyleColBandSize w:val="1"/>
      <w:tblInd w:w="0" w:type="dxa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04255"/>
    <w:rPr>
      <w:lang w:eastAsia="ru-RU"/>
      <w:color w:val="404040"/>
      <w:szCs w:val="20"/>
    </w:rPr>
    <w:tblPr>
      <w:tblStyleRowBandSize w:val="1"/>
      <w:tblStyleColBandSize w:val="1"/>
      <w:tblInd w:w="0" w:type="dxa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304255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see.ru" TargetMode="External"/><Relationship Id="rId3" Type="http://schemas.openxmlformats.org/officeDocument/2006/relationships/hyperlink" Target="https://helpdesk.taxsee.ru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LibreOffice/6.4.7.2$Linux_X86_64 LibreOffice_project/40$Build-2</Application>
  <Pages>5</Pages>
  <Words>495</Words>
  <Characters>3773</Characters>
  <CharactersWithSpaces>4278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2023-12-11T17:46:17Z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